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AC4E" w14:textId="77777777" w:rsidR="00CB6D1A" w:rsidRPr="0035295D" w:rsidRDefault="00CB6D1A" w:rsidP="00CB6D1A">
      <w:pPr>
        <w:rPr>
          <w:rFonts w:ascii="Georgia" w:hAnsi="Georgia"/>
          <w:sz w:val="22"/>
          <w:szCs w:val="22"/>
          <w:highlight w:val="lightGray"/>
        </w:rPr>
      </w:pPr>
      <w:r w:rsidRPr="0035295D">
        <w:rPr>
          <w:rFonts w:ascii="Georgia" w:hAnsi="Georgia"/>
          <w:sz w:val="22"/>
          <w:szCs w:val="22"/>
          <w:highlight w:val="lightGray"/>
        </w:rPr>
        <w:t xml:space="preserve">Date: </w:t>
      </w:r>
    </w:p>
    <w:p w14:paraId="731E15D5" w14:textId="77777777" w:rsidR="00CB6D1A" w:rsidRPr="0035295D" w:rsidRDefault="00CB6D1A" w:rsidP="00CB6D1A">
      <w:pPr>
        <w:rPr>
          <w:rFonts w:ascii="Georgia" w:hAnsi="Georgia"/>
          <w:sz w:val="22"/>
          <w:szCs w:val="22"/>
          <w:highlight w:val="lightGray"/>
        </w:rPr>
      </w:pPr>
    </w:p>
    <w:p w14:paraId="643882FD" w14:textId="77777777" w:rsidR="00CB6D1A" w:rsidRPr="0035295D" w:rsidRDefault="00CB6D1A" w:rsidP="00CB6D1A">
      <w:pPr>
        <w:rPr>
          <w:rFonts w:ascii="Georgia" w:hAnsi="Georgia"/>
          <w:sz w:val="22"/>
          <w:szCs w:val="22"/>
          <w:highlight w:val="lightGray"/>
        </w:rPr>
      </w:pPr>
      <w:r w:rsidRPr="0035295D">
        <w:rPr>
          <w:rFonts w:ascii="Georgia" w:hAnsi="Georgia"/>
          <w:sz w:val="22"/>
          <w:szCs w:val="22"/>
          <w:highlight w:val="lightGray"/>
        </w:rPr>
        <w:t>Payer Company Name</w:t>
      </w:r>
    </w:p>
    <w:p w14:paraId="6706126D" w14:textId="77777777" w:rsidR="00CB6D1A" w:rsidRPr="0035295D" w:rsidRDefault="00CB6D1A" w:rsidP="00CB6D1A">
      <w:pPr>
        <w:rPr>
          <w:rFonts w:ascii="Georgia" w:hAnsi="Georgia"/>
          <w:sz w:val="22"/>
          <w:szCs w:val="22"/>
          <w:highlight w:val="lightGray"/>
        </w:rPr>
      </w:pPr>
      <w:r w:rsidRPr="0035295D">
        <w:rPr>
          <w:rFonts w:ascii="Georgia" w:hAnsi="Georgia"/>
          <w:sz w:val="22"/>
          <w:szCs w:val="22"/>
          <w:highlight w:val="lightGray"/>
        </w:rPr>
        <w:t>Street/Building Address</w:t>
      </w:r>
    </w:p>
    <w:p w14:paraId="6EFDDCBA" w14:textId="77777777" w:rsidR="00CB6D1A" w:rsidRPr="0035295D" w:rsidRDefault="00CB6D1A" w:rsidP="00CB6D1A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  <w:highlight w:val="lightGray"/>
        </w:rPr>
        <w:t>City, State ZIP</w:t>
      </w:r>
    </w:p>
    <w:p w14:paraId="1C09B273" w14:textId="77777777" w:rsidR="00CB6D1A" w:rsidRPr="0035295D" w:rsidRDefault="00CB6D1A" w:rsidP="00CB6D1A">
      <w:pPr>
        <w:rPr>
          <w:rFonts w:ascii="Georgia" w:hAnsi="Georgia"/>
          <w:sz w:val="22"/>
          <w:szCs w:val="22"/>
        </w:rPr>
      </w:pPr>
    </w:p>
    <w:p w14:paraId="3B0FA864" w14:textId="77777777" w:rsidR="00CB6D1A" w:rsidRPr="0035295D" w:rsidRDefault="00CB6D1A" w:rsidP="00CB6D1A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</w:rPr>
        <w:t xml:space="preserve">ATTN: </w:t>
      </w:r>
      <w:r w:rsidRPr="0035295D">
        <w:rPr>
          <w:rFonts w:ascii="Georgia" w:hAnsi="Georgia"/>
          <w:sz w:val="22"/>
          <w:szCs w:val="22"/>
          <w:highlight w:val="lightGray"/>
        </w:rPr>
        <w:t>Contact Name/ Contact Title</w:t>
      </w:r>
    </w:p>
    <w:p w14:paraId="62BBCA29" w14:textId="77777777" w:rsidR="00CB6D1A" w:rsidRPr="0035295D" w:rsidRDefault="00CB6D1A" w:rsidP="00CB6D1A">
      <w:pPr>
        <w:rPr>
          <w:rFonts w:ascii="Georgia" w:hAnsi="Georgia"/>
          <w:sz w:val="22"/>
          <w:szCs w:val="22"/>
        </w:rPr>
      </w:pPr>
    </w:p>
    <w:p w14:paraId="59476BD2" w14:textId="410BAC91" w:rsidR="00CB6D1A" w:rsidRPr="0035295D" w:rsidRDefault="00CB6D1A" w:rsidP="00CB6D1A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</w:rPr>
        <w:t xml:space="preserve">Re: Letter of </w:t>
      </w:r>
      <w:r w:rsidR="00295C13">
        <w:rPr>
          <w:rFonts w:ascii="Georgia" w:hAnsi="Georgia"/>
          <w:sz w:val="22"/>
          <w:szCs w:val="22"/>
        </w:rPr>
        <w:t>LYVISPAH</w:t>
      </w:r>
      <w:r w:rsidRPr="0035295D">
        <w:rPr>
          <w:rFonts w:ascii="Georgia" w:hAnsi="Georgia"/>
          <w:sz w:val="22"/>
          <w:szCs w:val="22"/>
        </w:rPr>
        <w:t xml:space="preserve"> Medical Necessity for </w:t>
      </w:r>
      <w:r w:rsidRPr="0035295D">
        <w:rPr>
          <w:rFonts w:ascii="Georgia" w:hAnsi="Georgia"/>
          <w:sz w:val="22"/>
          <w:szCs w:val="22"/>
          <w:highlight w:val="lightGray"/>
        </w:rPr>
        <w:t>Plan Member Name</w:t>
      </w:r>
    </w:p>
    <w:p w14:paraId="24004AD5" w14:textId="77777777" w:rsidR="00CB6D1A" w:rsidRPr="0035295D" w:rsidRDefault="00CB6D1A" w:rsidP="00CB6D1A">
      <w:pPr>
        <w:rPr>
          <w:rFonts w:ascii="Georgia" w:hAnsi="Georgia"/>
          <w:sz w:val="22"/>
          <w:szCs w:val="22"/>
        </w:rPr>
      </w:pPr>
    </w:p>
    <w:p w14:paraId="3A43844D" w14:textId="77777777" w:rsidR="00CB6D1A" w:rsidRPr="0035295D" w:rsidRDefault="00CB6D1A" w:rsidP="00CB6D1A">
      <w:pPr>
        <w:rPr>
          <w:rFonts w:ascii="Georgia" w:hAnsi="Georgia"/>
          <w:i/>
          <w:iCs/>
          <w:sz w:val="22"/>
          <w:szCs w:val="22"/>
        </w:rPr>
      </w:pPr>
      <w:r w:rsidRPr="0035295D">
        <w:rPr>
          <w:rFonts w:ascii="Georgia" w:hAnsi="Georgia"/>
          <w:i/>
          <w:iCs/>
          <w:sz w:val="22"/>
          <w:szCs w:val="22"/>
        </w:rPr>
        <w:t>Plan member information:</w:t>
      </w:r>
    </w:p>
    <w:p w14:paraId="4B375D48" w14:textId="77777777" w:rsidR="00CB6D1A" w:rsidRPr="0035295D" w:rsidRDefault="00CB6D1A" w:rsidP="00CB6D1A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</w:rPr>
        <w:t xml:space="preserve">Name: </w:t>
      </w:r>
      <w:r w:rsidRPr="0035295D">
        <w:rPr>
          <w:rFonts w:ascii="Georgia" w:hAnsi="Georgia"/>
          <w:sz w:val="22"/>
          <w:szCs w:val="22"/>
          <w:highlight w:val="lightGray"/>
        </w:rPr>
        <w:t>First and Last Name</w:t>
      </w:r>
    </w:p>
    <w:p w14:paraId="26026ECC" w14:textId="77777777" w:rsidR="00CB6D1A" w:rsidRPr="0035295D" w:rsidRDefault="00CB6D1A" w:rsidP="00CB6D1A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</w:rPr>
        <w:t xml:space="preserve">Date of Birth: </w:t>
      </w:r>
      <w:r w:rsidRPr="0035295D">
        <w:rPr>
          <w:rFonts w:ascii="Georgia" w:hAnsi="Georgia"/>
          <w:sz w:val="22"/>
          <w:szCs w:val="22"/>
          <w:highlight w:val="lightGray"/>
        </w:rPr>
        <w:t>MM/DD/YYYY</w:t>
      </w:r>
    </w:p>
    <w:p w14:paraId="46614134" w14:textId="77777777" w:rsidR="00CB6D1A" w:rsidRPr="0035295D" w:rsidRDefault="00CB6D1A" w:rsidP="00CB6D1A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</w:rPr>
        <w:t xml:space="preserve">ID Number: </w:t>
      </w:r>
      <w:r w:rsidRPr="0035295D">
        <w:rPr>
          <w:rFonts w:ascii="Georgia" w:hAnsi="Georgia"/>
          <w:sz w:val="22"/>
          <w:szCs w:val="22"/>
          <w:highlight w:val="lightGray"/>
        </w:rPr>
        <w:t>Insurance ID Number</w:t>
      </w:r>
    </w:p>
    <w:p w14:paraId="1C0F5178" w14:textId="77777777" w:rsidR="00CB6D1A" w:rsidRPr="003A0406" w:rsidRDefault="00CB6D1A" w:rsidP="00CB6D1A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</w:rPr>
        <w:t xml:space="preserve">Group Number: </w:t>
      </w:r>
      <w:r w:rsidRPr="0035295D">
        <w:rPr>
          <w:rFonts w:ascii="Georgia" w:hAnsi="Georgia"/>
          <w:sz w:val="22"/>
          <w:szCs w:val="22"/>
          <w:highlight w:val="lightGray"/>
        </w:rPr>
        <w:t>Insurance Group Number</w:t>
      </w:r>
    </w:p>
    <w:p w14:paraId="12B51973" w14:textId="77777777" w:rsidR="00CB6D1A" w:rsidRPr="003A0406" w:rsidRDefault="00CB6D1A" w:rsidP="00CB6D1A">
      <w:pPr>
        <w:rPr>
          <w:rFonts w:ascii="Georgia" w:hAnsi="Georgia"/>
          <w:sz w:val="22"/>
          <w:szCs w:val="22"/>
        </w:rPr>
      </w:pPr>
    </w:p>
    <w:p w14:paraId="489E14BD" w14:textId="77777777" w:rsidR="00CB6D1A" w:rsidRPr="003A0406" w:rsidRDefault="00CB6D1A" w:rsidP="00CB6D1A">
      <w:pPr>
        <w:rPr>
          <w:rFonts w:ascii="Georgia" w:hAnsi="Georgia"/>
          <w:sz w:val="22"/>
          <w:szCs w:val="22"/>
        </w:rPr>
      </w:pPr>
      <w:r w:rsidRPr="003A0406">
        <w:rPr>
          <w:rFonts w:ascii="Georgia" w:hAnsi="Georgia"/>
          <w:sz w:val="22"/>
          <w:szCs w:val="22"/>
        </w:rPr>
        <w:t xml:space="preserve">Dear </w:t>
      </w:r>
      <w:r w:rsidRPr="0035295D">
        <w:rPr>
          <w:rFonts w:ascii="Georgia" w:hAnsi="Georgia"/>
          <w:sz w:val="22"/>
          <w:szCs w:val="22"/>
          <w:highlight w:val="lightGray"/>
        </w:rPr>
        <w:t>Sir or Madam</w:t>
      </w:r>
      <w:r w:rsidRPr="003A0406">
        <w:rPr>
          <w:rFonts w:ascii="Georgia" w:hAnsi="Georgia"/>
          <w:sz w:val="22"/>
          <w:szCs w:val="22"/>
        </w:rPr>
        <w:t>:</w:t>
      </w:r>
    </w:p>
    <w:p w14:paraId="738E66D5" w14:textId="77777777" w:rsidR="00CB6D1A" w:rsidRDefault="00CB6D1A" w:rsidP="00CB6D1A">
      <w:pPr>
        <w:spacing w:before="120" w:after="120" w:line="360" w:lineRule="auto"/>
        <w:rPr>
          <w:rFonts w:ascii="Georgia" w:hAnsi="Georgia"/>
          <w:sz w:val="22"/>
          <w:szCs w:val="22"/>
        </w:rPr>
      </w:pPr>
    </w:p>
    <w:p w14:paraId="390BE0DB" w14:textId="2DD971F5" w:rsidR="00CB6D1A" w:rsidRDefault="00CB6D1A" w:rsidP="00CB6D1A">
      <w:pPr>
        <w:spacing w:before="120" w:after="120" w:line="360" w:lineRule="auto"/>
        <w:rPr>
          <w:rFonts w:ascii="Georgia" w:hAnsi="Georgia"/>
          <w:sz w:val="22"/>
          <w:szCs w:val="22"/>
        </w:rPr>
      </w:pPr>
      <w:r w:rsidRPr="003A0406">
        <w:rPr>
          <w:rFonts w:ascii="Georgia" w:hAnsi="Georgia"/>
          <w:sz w:val="22"/>
          <w:szCs w:val="22"/>
        </w:rPr>
        <w:t xml:space="preserve">This letter is to </w:t>
      </w:r>
      <w:r>
        <w:rPr>
          <w:rFonts w:ascii="Georgia" w:hAnsi="Georgia"/>
          <w:sz w:val="22"/>
          <w:szCs w:val="22"/>
        </w:rPr>
        <w:t>explain the rationale for my prescription of baclofen oral granules (LYVISPAH</w:t>
      </w:r>
      <w:r>
        <w:rPr>
          <w:rFonts w:ascii="Georgia" w:hAnsi="Georgia" w:cs="Times New Roman (Body CS)"/>
          <w:sz w:val="22"/>
          <w:szCs w:val="22"/>
          <w:vertAlign w:val="superscript"/>
        </w:rPr>
        <w:t>TM</w:t>
      </w:r>
      <w:r>
        <w:rPr>
          <w:rFonts w:ascii="Georgia" w:hAnsi="Georgia"/>
          <w:sz w:val="22"/>
          <w:szCs w:val="22"/>
        </w:rPr>
        <w:t xml:space="preserve">) for </w:t>
      </w:r>
      <w:r w:rsidRPr="00A84940">
        <w:rPr>
          <w:rFonts w:ascii="Georgia" w:hAnsi="Georgia"/>
          <w:sz w:val="22"/>
          <w:szCs w:val="22"/>
          <w:highlight w:val="lightGray"/>
        </w:rPr>
        <w:t>patient name</w:t>
      </w:r>
      <w:r>
        <w:rPr>
          <w:rFonts w:ascii="Georgia" w:hAnsi="Georgia"/>
          <w:sz w:val="22"/>
          <w:szCs w:val="22"/>
        </w:rPr>
        <w:t xml:space="preserve">. This individual suffers from spasticity resulting from Multiple sclerosis, spinal cord </w:t>
      </w:r>
      <w:r w:rsidR="00E17A36">
        <w:rPr>
          <w:rFonts w:ascii="Georgia" w:hAnsi="Georgia"/>
          <w:sz w:val="22"/>
          <w:szCs w:val="22"/>
        </w:rPr>
        <w:t>injury</w:t>
      </w:r>
      <w:r>
        <w:rPr>
          <w:rFonts w:ascii="Georgia" w:hAnsi="Georgia"/>
          <w:sz w:val="22"/>
          <w:szCs w:val="22"/>
        </w:rPr>
        <w:t xml:space="preserve">, and/or other spinal cord disease. </w:t>
      </w:r>
    </w:p>
    <w:p w14:paraId="17BE058E" w14:textId="2359D9B8" w:rsidR="00CB6D1A" w:rsidRDefault="00CB6D1A" w:rsidP="00CB6D1A">
      <w:pPr>
        <w:spacing w:before="120" w:after="120"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LYVISPAH has been FDA approved since December 2021 and is bioequivalent to oral baclofen tablets.</w:t>
      </w:r>
      <w:r w:rsidRPr="00170C24">
        <w:rPr>
          <w:rFonts w:ascii="Georgia" w:hAnsi="Georgia"/>
          <w:sz w:val="22"/>
          <w:szCs w:val="22"/>
          <w:vertAlign w:val="superscript"/>
        </w:rPr>
        <w:t>1,2</w:t>
      </w:r>
      <w:r>
        <w:rPr>
          <w:rFonts w:ascii="Georgia" w:hAnsi="Georgia"/>
          <w:sz w:val="22"/>
          <w:szCs w:val="22"/>
        </w:rPr>
        <w:t xml:space="preserve"> It</w:t>
      </w:r>
      <w:r w:rsidRPr="00025C21">
        <w:rPr>
          <w:rFonts w:ascii="Georgia" w:hAnsi="Georgia"/>
          <w:sz w:val="22"/>
          <w:szCs w:val="22"/>
        </w:rPr>
        <w:t xml:space="preserve"> is </w:t>
      </w:r>
      <w:r>
        <w:rPr>
          <w:rFonts w:ascii="Georgia" w:hAnsi="Georgia"/>
          <w:sz w:val="22"/>
          <w:szCs w:val="22"/>
        </w:rPr>
        <w:t xml:space="preserve">also </w:t>
      </w:r>
      <w:r w:rsidRPr="00025C21">
        <w:rPr>
          <w:rFonts w:ascii="Georgia" w:hAnsi="Georgia"/>
          <w:sz w:val="22"/>
          <w:szCs w:val="22"/>
        </w:rPr>
        <w:t xml:space="preserve">well recognized by experts that </w:t>
      </w:r>
      <w:r>
        <w:rPr>
          <w:rFonts w:ascii="Georgia" w:hAnsi="Georgia" w:cs="Calibri"/>
          <w:sz w:val="22"/>
          <w:szCs w:val="22"/>
        </w:rPr>
        <w:t>baclofen</w:t>
      </w:r>
      <w:r w:rsidRPr="00EE0B73">
        <w:rPr>
          <w:rFonts w:ascii="Georgia" w:hAnsi="Georgia" w:cs="Calibri"/>
          <w:sz w:val="22"/>
          <w:szCs w:val="22"/>
        </w:rPr>
        <w:t xml:space="preserve"> is an effective drug treatment </w:t>
      </w:r>
      <w:r w:rsidR="00312FA0">
        <w:rPr>
          <w:rFonts w:ascii="Georgia" w:hAnsi="Georgia" w:cs="Calibri"/>
          <w:sz w:val="22"/>
          <w:szCs w:val="22"/>
        </w:rPr>
        <w:t xml:space="preserve">for </w:t>
      </w:r>
      <w:r>
        <w:rPr>
          <w:rFonts w:ascii="Georgia" w:hAnsi="Georgia" w:cs="Calibri"/>
          <w:sz w:val="22"/>
          <w:szCs w:val="22"/>
        </w:rPr>
        <w:t>spasticity</w:t>
      </w:r>
      <w:r w:rsidRPr="00524699">
        <w:rPr>
          <w:rFonts w:ascii="Georgia" w:hAnsi="Georgia" w:cs="Calibri"/>
          <w:sz w:val="22"/>
          <w:szCs w:val="22"/>
        </w:rPr>
        <w:t xml:space="preserve">. </w:t>
      </w:r>
      <w:r w:rsidR="00312FA0">
        <w:rPr>
          <w:rFonts w:ascii="Georgia" w:hAnsi="Georgia" w:cs="Calibri"/>
          <w:sz w:val="22"/>
          <w:szCs w:val="22"/>
        </w:rPr>
        <w:t>Baclofen</w:t>
      </w:r>
      <w:r>
        <w:rPr>
          <w:rFonts w:ascii="Georgia" w:hAnsi="Georgia"/>
          <w:sz w:val="22"/>
          <w:szCs w:val="22"/>
        </w:rPr>
        <w:t xml:space="preserve"> results in alleviation of signs and symptoms of spasticity, particularly relief of flexor spasms and concomitant pain, clonus, and muscular rigidity.</w:t>
      </w:r>
      <w:r w:rsidRPr="00170C24">
        <w:rPr>
          <w:rFonts w:ascii="Georgia" w:hAnsi="Georgia"/>
          <w:sz w:val="22"/>
          <w:szCs w:val="22"/>
          <w:vertAlign w:val="superscript"/>
        </w:rPr>
        <w:t>3</w:t>
      </w:r>
    </w:p>
    <w:p w14:paraId="6FE7E3D0" w14:textId="490235B2" w:rsidR="00CB6D1A" w:rsidRDefault="00CB6D1A" w:rsidP="00CB6D1A">
      <w:pPr>
        <w:spacing w:before="120" w:after="120"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Currently, there are 4 forms of oral baclofen on the US market, all of which have been FDA approved for use in spasticity resulting from Multiple sclerosis, spinal cord disease, and/or other spinal cord disease. These include generic baclofen tablets, LYVISPAH (baclofen oral granules), Fleqsuvy (baclofen oral suspension)</w:t>
      </w:r>
      <w:r w:rsidRPr="009605AD">
        <w:rPr>
          <w:rFonts w:ascii="Georgia" w:hAnsi="Georgia"/>
          <w:sz w:val="22"/>
          <w:szCs w:val="22"/>
          <w:vertAlign w:val="superscript"/>
        </w:rPr>
        <w:t>4</w:t>
      </w:r>
      <w:r>
        <w:rPr>
          <w:rFonts w:ascii="Georgia" w:hAnsi="Georgia"/>
          <w:sz w:val="22"/>
          <w:szCs w:val="22"/>
        </w:rPr>
        <w:t>, and Ozobax (baclofen oral solution)</w:t>
      </w:r>
      <w:r w:rsidRPr="009605AD">
        <w:rPr>
          <w:rFonts w:ascii="Georgia" w:hAnsi="Georgia"/>
          <w:sz w:val="22"/>
          <w:szCs w:val="22"/>
          <w:vertAlign w:val="superscript"/>
        </w:rPr>
        <w:t>5</w:t>
      </w:r>
      <w:r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  <w:vertAlign w:val="superscript"/>
        </w:rPr>
        <w:t xml:space="preserve"> </w:t>
      </w:r>
      <w:r>
        <w:rPr>
          <w:rFonts w:ascii="Georgia" w:hAnsi="Georgia"/>
          <w:sz w:val="22"/>
          <w:szCs w:val="22"/>
        </w:rPr>
        <w:t xml:space="preserve">While all 4 products consist of the same active ingredient (baclofen), they differ in their dosage formulations and indicated routes of administration.  </w:t>
      </w:r>
    </w:p>
    <w:p w14:paraId="4A0A1A41" w14:textId="2A66C5F8" w:rsidR="008F72A2" w:rsidRDefault="00CB6D1A" w:rsidP="00CB6D1A">
      <w:pPr>
        <w:spacing w:before="120" w:after="120"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</w:t>
      </w:r>
      <w:r w:rsidR="00A0384B">
        <w:rPr>
          <w:rFonts w:ascii="Georgia" w:hAnsi="Georgia"/>
          <w:sz w:val="22"/>
          <w:szCs w:val="22"/>
        </w:rPr>
        <w:t>YVISPAH</w:t>
      </w:r>
      <w:r>
        <w:rPr>
          <w:rFonts w:ascii="Georgia" w:hAnsi="Georgia"/>
          <w:sz w:val="22"/>
          <w:szCs w:val="22"/>
        </w:rPr>
        <w:t xml:space="preserve"> helps those patients with dysphagia and/or using a feeding tube by providing a baclofen formulation that provides accurate dosing and can be administered in multiple ways. </w:t>
      </w:r>
      <w:r w:rsidR="00312FA0">
        <w:rPr>
          <w:rFonts w:ascii="Georgia" w:hAnsi="Georgia"/>
          <w:sz w:val="22"/>
          <w:szCs w:val="22"/>
        </w:rPr>
        <w:t xml:space="preserve">Patients can administer LYVISPAH </w:t>
      </w:r>
      <w:r w:rsidR="00811473">
        <w:rPr>
          <w:rFonts w:ascii="Georgia" w:hAnsi="Georgia"/>
          <w:sz w:val="22"/>
          <w:szCs w:val="22"/>
        </w:rPr>
        <w:t>in multiple ways:</w:t>
      </w:r>
      <w:r>
        <w:rPr>
          <w:rFonts w:ascii="Georgia" w:hAnsi="Georgia"/>
          <w:sz w:val="22"/>
          <w:szCs w:val="22"/>
        </w:rPr>
        <w:t xml:space="preserve"> pouring directly in their mouth, dissolving in liquids or soft food, or via enteral feeding tubes.  </w:t>
      </w:r>
      <w:r w:rsidR="00C85D38">
        <w:rPr>
          <w:rFonts w:ascii="Georgia" w:hAnsi="Georgia"/>
          <w:sz w:val="22"/>
          <w:szCs w:val="22"/>
        </w:rPr>
        <w:t>LYVISPAH</w:t>
      </w:r>
      <w:r w:rsidR="001333E7">
        <w:rPr>
          <w:rFonts w:ascii="Georgia" w:hAnsi="Georgia"/>
          <w:sz w:val="22"/>
          <w:szCs w:val="22"/>
        </w:rPr>
        <w:t xml:space="preserve"> does not need to be shaken or reconstituted and can be stored at room temperature, ensuring consisten</w:t>
      </w:r>
      <w:r w:rsidR="00E626DB">
        <w:rPr>
          <w:rFonts w:ascii="Georgia" w:hAnsi="Georgia"/>
          <w:sz w:val="22"/>
          <w:szCs w:val="22"/>
        </w:rPr>
        <w:t>t and accurate</w:t>
      </w:r>
      <w:r w:rsidR="001333E7">
        <w:rPr>
          <w:rFonts w:ascii="Georgia" w:hAnsi="Georgia"/>
          <w:sz w:val="22"/>
          <w:szCs w:val="22"/>
        </w:rPr>
        <w:t xml:space="preserve"> dosing</w:t>
      </w:r>
      <w:r>
        <w:rPr>
          <w:rFonts w:ascii="Georgia" w:hAnsi="Georgia"/>
          <w:sz w:val="22"/>
          <w:szCs w:val="22"/>
        </w:rPr>
        <w:t xml:space="preserve">.  </w:t>
      </w:r>
    </w:p>
    <w:p w14:paraId="65D34CF8" w14:textId="6C17C2E1" w:rsidR="00CB6D1A" w:rsidRPr="000D7DFC" w:rsidRDefault="008F72A2" w:rsidP="00CB6D1A">
      <w:pPr>
        <w:spacing w:before="120" w:after="120"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LYVISPAH helps patients (and their caregivers) deliver accurate dosing.  </w:t>
      </w:r>
      <w:r w:rsidR="00A35E2D" w:rsidRPr="00A35E2D">
        <w:rPr>
          <w:rFonts w:ascii="Georgia" w:hAnsi="Georgia"/>
          <w:sz w:val="22"/>
          <w:szCs w:val="22"/>
        </w:rPr>
        <w:t xml:space="preserve">Crushing baclofen tablets may be a difficult task for patients and/or caregivers and can increase the risk for </w:t>
      </w:r>
      <w:r w:rsidR="00A35E2D" w:rsidRPr="00A35E2D">
        <w:rPr>
          <w:rFonts w:ascii="Georgia" w:hAnsi="Georgia"/>
          <w:sz w:val="22"/>
          <w:szCs w:val="22"/>
        </w:rPr>
        <w:lastRenderedPageBreak/>
        <w:t>inadequate or inaccurate dosing</w:t>
      </w:r>
      <w:r w:rsidR="00CB6D1A">
        <w:rPr>
          <w:rFonts w:ascii="Georgia" w:hAnsi="Georgia"/>
          <w:sz w:val="22"/>
          <w:szCs w:val="22"/>
        </w:rPr>
        <w:t>.</w:t>
      </w:r>
      <w:r w:rsidR="008E53EA">
        <w:rPr>
          <w:rFonts w:ascii="Georgia" w:hAnsi="Georgia"/>
          <w:sz w:val="22"/>
          <w:szCs w:val="22"/>
        </w:rPr>
        <w:t xml:space="preserve"> Studies with various crushing methods have shown drug loss ranging from </w:t>
      </w:r>
      <w:r w:rsidR="00DB0BC2">
        <w:rPr>
          <w:rFonts w:ascii="Georgia" w:hAnsi="Georgia"/>
          <w:sz w:val="22"/>
          <w:szCs w:val="22"/>
        </w:rPr>
        <w:t>0 – 38%. Drug loss should not be above the threshold of &lt;3% set by the FDA.</w:t>
      </w:r>
      <w:r w:rsidR="00DB0BC2" w:rsidRPr="00DB0BC2">
        <w:rPr>
          <w:rFonts w:ascii="Georgia" w:hAnsi="Georgia"/>
          <w:sz w:val="22"/>
          <w:szCs w:val="22"/>
          <w:vertAlign w:val="superscript"/>
        </w:rPr>
        <w:t>6</w:t>
      </w:r>
      <w:r w:rsidR="00DB0BC2">
        <w:rPr>
          <w:rFonts w:ascii="Georgia" w:hAnsi="Georgia"/>
          <w:sz w:val="22"/>
          <w:szCs w:val="22"/>
        </w:rPr>
        <w:t xml:space="preserve"> Steps to recover the lost drug are inconvenient and time-consuming for nurses, caregivers, and patients and may still result in drug loss above the FDA threshold.</w:t>
      </w:r>
      <w:r w:rsidR="00DB0BC2" w:rsidRPr="00DB0BC2">
        <w:rPr>
          <w:rFonts w:ascii="Georgia" w:hAnsi="Georgia"/>
          <w:sz w:val="22"/>
          <w:szCs w:val="22"/>
          <w:vertAlign w:val="superscript"/>
        </w:rPr>
        <w:t>7</w:t>
      </w:r>
    </w:p>
    <w:p w14:paraId="763CBFC6" w14:textId="77777777" w:rsidR="00CB6D1A" w:rsidRPr="000744EC" w:rsidRDefault="00CB6D1A" w:rsidP="00CB6D1A">
      <w:pPr>
        <w:spacing w:before="120" w:after="120"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 w:cs="Calibri"/>
          <w:color w:val="000000" w:themeColor="text1"/>
          <w:sz w:val="22"/>
          <w:szCs w:val="22"/>
        </w:rPr>
        <w:t xml:space="preserve">In my opinion, Lyvispah would be the most appropriate treatment option to meet the unique needs for my patient. </w:t>
      </w:r>
    </w:p>
    <w:p w14:paraId="13960E89" w14:textId="77777777" w:rsidR="00CB6D1A" w:rsidRDefault="00CB6D1A" w:rsidP="00CB6D1A">
      <w:pPr>
        <w:spacing w:before="120" w:after="120"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In light of the foregoing considerations, it is essential that you approve LYVISPAH for my patient. </w:t>
      </w:r>
      <w:r w:rsidRPr="00100D26">
        <w:rPr>
          <w:rFonts w:ascii="Georgia" w:hAnsi="Georgia"/>
          <w:sz w:val="22"/>
          <w:szCs w:val="22"/>
        </w:rPr>
        <w:t xml:space="preserve">It is my view that use of other preparations of </w:t>
      </w:r>
      <w:r>
        <w:rPr>
          <w:rFonts w:ascii="Georgia" w:hAnsi="Georgia"/>
          <w:sz w:val="22"/>
          <w:szCs w:val="22"/>
        </w:rPr>
        <w:t xml:space="preserve">baclofen create challenges for my patient and/or their caregivers and LYVISPAH provides a needed solution for my patient’s needs.  </w:t>
      </w:r>
    </w:p>
    <w:p w14:paraId="7EB85E21" w14:textId="77777777" w:rsidR="00CB6D1A" w:rsidRDefault="00CB6D1A" w:rsidP="00CB6D1A">
      <w:pPr>
        <w:spacing w:before="120" w:after="120"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Sincerely,</w:t>
      </w:r>
    </w:p>
    <w:p w14:paraId="02001952" w14:textId="77777777" w:rsidR="00CB6D1A" w:rsidRDefault="00CB6D1A" w:rsidP="00CB6D1A">
      <w:pPr>
        <w:spacing w:before="120" w:after="120" w:line="360" w:lineRule="auto"/>
        <w:rPr>
          <w:rFonts w:ascii="Georgia" w:hAnsi="Georgia"/>
          <w:sz w:val="22"/>
          <w:szCs w:val="22"/>
        </w:rPr>
      </w:pPr>
      <w:r w:rsidRPr="00402994">
        <w:rPr>
          <w:rFonts w:ascii="Georgia" w:hAnsi="Georgia"/>
          <w:sz w:val="22"/>
          <w:szCs w:val="22"/>
          <w:highlight w:val="lightGray"/>
        </w:rPr>
        <w:t>Signature line</w:t>
      </w:r>
    </w:p>
    <w:p w14:paraId="58D7FFAE" w14:textId="3A46B3D3" w:rsidR="00CB6D1A" w:rsidRDefault="00CB6D1A" w:rsidP="00CB6D1A">
      <w:pPr>
        <w:spacing w:before="120" w:after="120" w:line="360" w:lineRule="auto"/>
        <w:rPr>
          <w:rFonts w:ascii="Georgia" w:hAnsi="Georgia"/>
          <w:b/>
          <w:bCs/>
          <w:sz w:val="20"/>
          <w:szCs w:val="20"/>
        </w:rPr>
      </w:pPr>
    </w:p>
    <w:p w14:paraId="456D6D95" w14:textId="63F3A7ED" w:rsidR="00790EDF" w:rsidRDefault="00790EDF" w:rsidP="00CB6D1A">
      <w:pPr>
        <w:spacing w:before="120" w:after="120" w:line="360" w:lineRule="auto"/>
        <w:rPr>
          <w:rFonts w:ascii="Georgia" w:hAnsi="Georgia"/>
          <w:b/>
          <w:bCs/>
          <w:sz w:val="20"/>
          <w:szCs w:val="20"/>
        </w:rPr>
      </w:pPr>
    </w:p>
    <w:p w14:paraId="157E1A19" w14:textId="21BBF33F" w:rsidR="000548B2" w:rsidRDefault="000548B2" w:rsidP="00CB6D1A">
      <w:pPr>
        <w:spacing w:before="120" w:after="120" w:line="360" w:lineRule="auto"/>
        <w:rPr>
          <w:rFonts w:ascii="Georgia" w:hAnsi="Georgia"/>
          <w:b/>
          <w:bCs/>
          <w:sz w:val="20"/>
          <w:szCs w:val="20"/>
        </w:rPr>
      </w:pPr>
    </w:p>
    <w:p w14:paraId="426F7A46" w14:textId="49B2A6B9" w:rsidR="000548B2" w:rsidRDefault="000548B2" w:rsidP="00CB6D1A">
      <w:pPr>
        <w:spacing w:before="120" w:after="120" w:line="360" w:lineRule="auto"/>
        <w:rPr>
          <w:rFonts w:ascii="Georgia" w:hAnsi="Georgia"/>
          <w:b/>
          <w:bCs/>
          <w:sz w:val="20"/>
          <w:szCs w:val="20"/>
        </w:rPr>
      </w:pPr>
    </w:p>
    <w:p w14:paraId="65B2D222" w14:textId="183454C5" w:rsidR="000548B2" w:rsidRDefault="000548B2" w:rsidP="00CB6D1A">
      <w:pPr>
        <w:spacing w:before="120" w:after="120" w:line="360" w:lineRule="auto"/>
        <w:rPr>
          <w:rFonts w:ascii="Georgia" w:hAnsi="Georgia"/>
          <w:b/>
          <w:bCs/>
          <w:sz w:val="20"/>
          <w:szCs w:val="20"/>
        </w:rPr>
      </w:pPr>
    </w:p>
    <w:p w14:paraId="2AA4CB0E" w14:textId="0F0EA87D" w:rsidR="000548B2" w:rsidRDefault="000548B2" w:rsidP="00CB6D1A">
      <w:pPr>
        <w:spacing w:before="120" w:after="120" w:line="360" w:lineRule="auto"/>
        <w:rPr>
          <w:rFonts w:ascii="Georgia" w:hAnsi="Georgia"/>
          <w:b/>
          <w:bCs/>
          <w:sz w:val="20"/>
          <w:szCs w:val="20"/>
        </w:rPr>
      </w:pPr>
    </w:p>
    <w:p w14:paraId="40627311" w14:textId="1BE51ABC" w:rsidR="000548B2" w:rsidRDefault="000548B2" w:rsidP="00CB6D1A">
      <w:pPr>
        <w:spacing w:before="120" w:after="120" w:line="360" w:lineRule="auto"/>
        <w:rPr>
          <w:rFonts w:ascii="Georgia" w:hAnsi="Georgia"/>
          <w:b/>
          <w:bCs/>
          <w:sz w:val="20"/>
          <w:szCs w:val="20"/>
        </w:rPr>
      </w:pPr>
    </w:p>
    <w:p w14:paraId="3F3F63AE" w14:textId="7DDFEBB0" w:rsidR="000548B2" w:rsidRDefault="000548B2" w:rsidP="00CB6D1A">
      <w:pPr>
        <w:spacing w:before="120" w:after="120" w:line="360" w:lineRule="auto"/>
        <w:rPr>
          <w:rFonts w:ascii="Georgia" w:hAnsi="Georgia"/>
          <w:b/>
          <w:bCs/>
          <w:sz w:val="20"/>
          <w:szCs w:val="20"/>
        </w:rPr>
      </w:pPr>
    </w:p>
    <w:p w14:paraId="1261CB35" w14:textId="4CBD64EE" w:rsidR="000548B2" w:rsidRDefault="000548B2" w:rsidP="00CB6D1A">
      <w:pPr>
        <w:spacing w:before="120" w:after="120" w:line="360" w:lineRule="auto"/>
        <w:rPr>
          <w:rFonts w:ascii="Georgia" w:hAnsi="Georgia"/>
          <w:b/>
          <w:bCs/>
          <w:sz w:val="20"/>
          <w:szCs w:val="20"/>
        </w:rPr>
      </w:pPr>
    </w:p>
    <w:p w14:paraId="77B0497E" w14:textId="77777777" w:rsidR="000548B2" w:rsidRPr="000548B2" w:rsidRDefault="000548B2" w:rsidP="00CB6D1A">
      <w:pPr>
        <w:spacing w:before="120" w:after="120" w:line="360" w:lineRule="auto"/>
        <w:rPr>
          <w:rFonts w:ascii="Georgia" w:hAnsi="Georgia"/>
          <w:b/>
          <w:bCs/>
          <w:sz w:val="20"/>
          <w:szCs w:val="20"/>
        </w:rPr>
      </w:pPr>
    </w:p>
    <w:p w14:paraId="5132D0EF" w14:textId="77777777" w:rsidR="00790EDF" w:rsidRPr="000548B2" w:rsidRDefault="00790EDF" w:rsidP="00CB6D1A">
      <w:pPr>
        <w:spacing w:before="120" w:after="120" w:line="360" w:lineRule="auto"/>
        <w:rPr>
          <w:rFonts w:ascii="Georgia" w:hAnsi="Georgia"/>
          <w:b/>
          <w:bCs/>
          <w:sz w:val="20"/>
          <w:szCs w:val="20"/>
        </w:rPr>
      </w:pPr>
    </w:p>
    <w:p w14:paraId="7178AC73" w14:textId="15DA1D53" w:rsidR="00CB6D1A" w:rsidRPr="000548B2" w:rsidRDefault="00CB6D1A" w:rsidP="00CB6D1A">
      <w:pPr>
        <w:spacing w:before="120" w:after="120" w:line="360" w:lineRule="auto"/>
        <w:rPr>
          <w:rFonts w:ascii="Georgia" w:hAnsi="Georgia"/>
          <w:sz w:val="16"/>
          <w:szCs w:val="16"/>
        </w:rPr>
      </w:pPr>
      <w:r w:rsidRPr="000548B2">
        <w:rPr>
          <w:rFonts w:ascii="Georgia" w:hAnsi="Georgia"/>
          <w:b/>
          <w:bCs/>
          <w:sz w:val="16"/>
          <w:szCs w:val="16"/>
        </w:rPr>
        <w:t>References</w:t>
      </w:r>
      <w:r w:rsidRPr="000548B2">
        <w:rPr>
          <w:rFonts w:ascii="Georgia" w:hAnsi="Georgia"/>
          <w:sz w:val="16"/>
          <w:szCs w:val="16"/>
        </w:rPr>
        <w:t>: 1. Saol Therapeutics. (2021, December 6). Saol Therapeutics Announces FDA Approval of LYVISPAH</w:t>
      </w:r>
      <w:r w:rsidRPr="000548B2">
        <w:rPr>
          <w:rFonts w:ascii="Georgia" w:hAnsi="Georgia"/>
          <w:sz w:val="16"/>
          <w:szCs w:val="16"/>
          <w:vertAlign w:val="superscript"/>
        </w:rPr>
        <w:t>TM</w:t>
      </w:r>
      <w:r w:rsidRPr="000548B2">
        <w:rPr>
          <w:rFonts w:ascii="Georgia" w:hAnsi="Georgia"/>
          <w:sz w:val="16"/>
          <w:szCs w:val="16"/>
        </w:rPr>
        <w:t xml:space="preserve"> (baclofen) Oral Granules and the Divesture of its Plasma-derived Hyperimmune Portfolio [Press release]. </w:t>
      </w:r>
      <w:hyperlink r:id="rId6" w:history="1">
        <w:r w:rsidRPr="000548B2">
          <w:rPr>
            <w:rStyle w:val="Hyperlink"/>
            <w:rFonts w:ascii="Georgia" w:hAnsi="Georgia"/>
            <w:sz w:val="16"/>
            <w:szCs w:val="16"/>
          </w:rPr>
          <w:t>https://saolrx.com/saol-therapeutics-announces-fda-approval-of-lyvispahtm-baclofen-oral-granules-and-the-divesture-of-its-plasma-derived-hyperimmune-portfolio/</w:t>
        </w:r>
      </w:hyperlink>
      <w:r w:rsidRPr="000548B2">
        <w:rPr>
          <w:rFonts w:ascii="Georgia" w:hAnsi="Georgia"/>
          <w:b/>
          <w:bCs/>
          <w:sz w:val="16"/>
          <w:szCs w:val="16"/>
        </w:rPr>
        <w:t>2.</w:t>
      </w:r>
      <w:r w:rsidRPr="000548B2">
        <w:rPr>
          <w:rFonts w:ascii="Georgia" w:hAnsi="Georgia"/>
          <w:sz w:val="16"/>
          <w:szCs w:val="16"/>
        </w:rPr>
        <w:t xml:space="preserve"> LYVISPAH (baclofen) oral granules [package insert]. Roswell, GA: Saol Therapeutics; 2021. </w:t>
      </w:r>
      <w:r w:rsidRPr="000548B2">
        <w:rPr>
          <w:rFonts w:ascii="Georgia" w:hAnsi="Georgia"/>
          <w:b/>
          <w:bCs/>
          <w:sz w:val="16"/>
          <w:szCs w:val="16"/>
        </w:rPr>
        <w:t>3.</w:t>
      </w:r>
      <w:r w:rsidRPr="000548B2">
        <w:rPr>
          <w:rFonts w:ascii="Georgia" w:hAnsi="Georgia"/>
          <w:sz w:val="16"/>
          <w:szCs w:val="16"/>
        </w:rPr>
        <w:t xml:space="preserve"> Ghanavatian S, Derian A. Baclofen [Updated 2021 Dec 17]. In: StatPearls [Internet] Treasure Island (FL): StatPearls Publishing; 2022 Jan. Available from: </w:t>
      </w:r>
      <w:hyperlink r:id="rId7" w:history="1">
        <w:r w:rsidRPr="000548B2">
          <w:rPr>
            <w:rStyle w:val="Hyperlink"/>
            <w:rFonts w:ascii="Georgia" w:hAnsi="Georgia"/>
            <w:sz w:val="16"/>
            <w:szCs w:val="16"/>
          </w:rPr>
          <w:t>https://www.ncbi.nlm.nih.gov/books/NBK526037</w:t>
        </w:r>
      </w:hyperlink>
      <w:r w:rsidRPr="000548B2">
        <w:rPr>
          <w:rFonts w:ascii="Georgia" w:hAnsi="Georgia"/>
          <w:sz w:val="16"/>
          <w:szCs w:val="16"/>
        </w:rPr>
        <w:t xml:space="preserve">. </w:t>
      </w:r>
      <w:r w:rsidRPr="000548B2">
        <w:rPr>
          <w:rFonts w:ascii="Georgia" w:hAnsi="Georgia"/>
          <w:b/>
          <w:bCs/>
          <w:sz w:val="16"/>
          <w:szCs w:val="16"/>
        </w:rPr>
        <w:t>4.</w:t>
      </w:r>
      <w:r w:rsidRPr="000548B2">
        <w:rPr>
          <w:rFonts w:ascii="Georgia" w:hAnsi="Georgia"/>
          <w:sz w:val="16"/>
          <w:szCs w:val="16"/>
        </w:rPr>
        <w:t xml:space="preserve"> FLEQSUVY [package insert]. Wilmington, MA: Azurity Pharmaceuticals, Inc; 2021. </w:t>
      </w:r>
      <w:r w:rsidRPr="000548B2">
        <w:rPr>
          <w:rFonts w:ascii="Georgia" w:hAnsi="Georgia"/>
          <w:b/>
          <w:bCs/>
          <w:sz w:val="16"/>
          <w:szCs w:val="16"/>
        </w:rPr>
        <w:t>5.</w:t>
      </w:r>
      <w:r w:rsidRPr="000548B2">
        <w:rPr>
          <w:rFonts w:ascii="Georgia" w:hAnsi="Georgia"/>
          <w:sz w:val="16"/>
          <w:szCs w:val="16"/>
        </w:rPr>
        <w:t xml:space="preserve"> OZOBAX [prescribing information]. Athens, GA: Metacel Pharmaceuticals, LLC; 2019.</w:t>
      </w:r>
      <w:r w:rsidR="00DB0BC2" w:rsidRPr="000548B2">
        <w:rPr>
          <w:rFonts w:ascii="Georgia" w:hAnsi="Georgia"/>
          <w:sz w:val="16"/>
          <w:szCs w:val="16"/>
        </w:rPr>
        <w:t xml:space="preserve"> </w:t>
      </w:r>
      <w:r w:rsidR="00DB0BC2" w:rsidRPr="000548B2">
        <w:rPr>
          <w:rFonts w:ascii="Georgia" w:hAnsi="Georgia"/>
          <w:b/>
          <w:bCs/>
          <w:sz w:val="16"/>
          <w:szCs w:val="16"/>
        </w:rPr>
        <w:t>6.</w:t>
      </w:r>
      <w:r w:rsidR="00DB0BC2" w:rsidRPr="000548B2">
        <w:rPr>
          <w:rFonts w:ascii="Georgia" w:hAnsi="Georgia"/>
          <w:sz w:val="16"/>
          <w:szCs w:val="16"/>
        </w:rPr>
        <w:t xml:space="preserve"> </w:t>
      </w:r>
      <w:r w:rsidR="000B5E39" w:rsidRPr="000548B2">
        <w:rPr>
          <w:rFonts w:ascii="Georgia" w:hAnsi="Georgia"/>
          <w:sz w:val="16"/>
          <w:szCs w:val="16"/>
        </w:rPr>
        <w:t>Betul Tosun, Nursemin Unal, Nurten Ozen, Filiz Atalay</w:t>
      </w:r>
      <w:r w:rsidR="0084191E" w:rsidRPr="000548B2">
        <w:rPr>
          <w:rFonts w:ascii="Georgia" w:hAnsi="Georgia"/>
          <w:sz w:val="16"/>
          <w:szCs w:val="16"/>
        </w:rPr>
        <w:t xml:space="preserve">; Comparison of Dosage Loss Between Medications Crushed with Two Different Methods by Two Nurses: An Invitro Study. </w:t>
      </w:r>
      <w:r w:rsidR="0084191E" w:rsidRPr="000548B2">
        <w:rPr>
          <w:rFonts w:ascii="Georgia" w:hAnsi="Georgia"/>
          <w:i/>
          <w:iCs/>
          <w:sz w:val="16"/>
          <w:szCs w:val="16"/>
        </w:rPr>
        <w:t>Bezmialem Science</w:t>
      </w:r>
      <w:r w:rsidR="0084191E" w:rsidRPr="000548B2">
        <w:rPr>
          <w:rFonts w:ascii="Georgia" w:hAnsi="Georgia"/>
          <w:sz w:val="16"/>
          <w:szCs w:val="16"/>
        </w:rPr>
        <w:t>.</w:t>
      </w:r>
      <w:r w:rsidR="00686221" w:rsidRPr="000548B2">
        <w:rPr>
          <w:rFonts w:ascii="Georgia" w:hAnsi="Georgia"/>
          <w:sz w:val="16"/>
          <w:szCs w:val="16"/>
        </w:rPr>
        <w:t xml:space="preserve"> 2021;9(1):106-11</w:t>
      </w:r>
      <w:r w:rsidR="005973D1" w:rsidRPr="000548B2">
        <w:rPr>
          <w:rFonts w:ascii="Georgia" w:hAnsi="Georgia"/>
          <w:sz w:val="16"/>
          <w:szCs w:val="16"/>
        </w:rPr>
        <w:t xml:space="preserve">. </w:t>
      </w:r>
      <w:r w:rsidR="00764792" w:rsidRPr="000548B2">
        <w:rPr>
          <w:rFonts w:ascii="Georgia" w:hAnsi="Georgia"/>
          <w:sz w:val="16"/>
          <w:szCs w:val="16"/>
        </w:rPr>
        <w:t xml:space="preserve"> </w:t>
      </w:r>
      <w:r w:rsidR="00764792" w:rsidRPr="000548B2">
        <w:rPr>
          <w:rFonts w:ascii="Georgia" w:hAnsi="Georgia"/>
          <w:b/>
          <w:bCs/>
          <w:sz w:val="16"/>
          <w:szCs w:val="16"/>
        </w:rPr>
        <w:t>7.</w:t>
      </w:r>
      <w:r w:rsidR="00764792" w:rsidRPr="000548B2">
        <w:rPr>
          <w:rFonts w:ascii="Georgia" w:hAnsi="Georgia"/>
          <w:sz w:val="16"/>
          <w:szCs w:val="16"/>
        </w:rPr>
        <w:t xml:space="preserve"> </w:t>
      </w:r>
      <w:r w:rsidR="00866202" w:rsidRPr="000548B2">
        <w:rPr>
          <w:rFonts w:ascii="Georgia" w:hAnsi="Georgia"/>
          <w:sz w:val="16"/>
          <w:szCs w:val="16"/>
        </w:rPr>
        <w:t xml:space="preserve"> </w:t>
      </w:r>
      <w:r w:rsidR="00BB5877" w:rsidRPr="000548B2">
        <w:rPr>
          <w:rFonts w:ascii="Georgia" w:hAnsi="Georgia"/>
          <w:sz w:val="16"/>
          <w:szCs w:val="16"/>
        </w:rPr>
        <w:t>Min Yew Thong</w:t>
      </w:r>
      <w:r w:rsidR="006A6BF7" w:rsidRPr="000548B2">
        <w:rPr>
          <w:rFonts w:ascii="Georgia" w:hAnsi="Georgia"/>
          <w:sz w:val="16"/>
          <w:szCs w:val="16"/>
        </w:rPr>
        <w:t>, Yady J. Manrique, Kathryn J. Steadman</w:t>
      </w:r>
      <w:r w:rsidR="000621DE" w:rsidRPr="000548B2">
        <w:rPr>
          <w:rFonts w:ascii="Georgia" w:hAnsi="Georgia"/>
          <w:sz w:val="16"/>
          <w:szCs w:val="16"/>
        </w:rPr>
        <w:t xml:space="preserve">; </w:t>
      </w:r>
      <w:r w:rsidR="00DB663B" w:rsidRPr="000548B2">
        <w:rPr>
          <w:rFonts w:ascii="Georgia" w:hAnsi="Georgia"/>
          <w:sz w:val="16"/>
          <w:szCs w:val="16"/>
        </w:rPr>
        <w:t xml:space="preserve">Drug loss while crushing tablets: Comparison of 24 tablet crushing devices. </w:t>
      </w:r>
      <w:r w:rsidR="00DB663B" w:rsidRPr="000548B2">
        <w:rPr>
          <w:rFonts w:ascii="Georgia" w:hAnsi="Georgia"/>
          <w:i/>
          <w:iCs/>
          <w:sz w:val="16"/>
          <w:szCs w:val="16"/>
        </w:rPr>
        <w:t>PL</w:t>
      </w:r>
      <w:r w:rsidR="000F7C01" w:rsidRPr="000548B2">
        <w:rPr>
          <w:rFonts w:ascii="Georgia" w:hAnsi="Georgia"/>
          <w:i/>
          <w:iCs/>
          <w:sz w:val="16"/>
          <w:szCs w:val="16"/>
        </w:rPr>
        <w:t>oS ONE</w:t>
      </w:r>
      <w:r w:rsidR="000F7C01" w:rsidRPr="000548B2">
        <w:rPr>
          <w:rFonts w:ascii="Georgia" w:hAnsi="Georgia"/>
          <w:sz w:val="16"/>
          <w:szCs w:val="16"/>
        </w:rPr>
        <w:t xml:space="preserve"> 13(3):e0193683.</w:t>
      </w:r>
      <w:r w:rsidR="00DB663B" w:rsidRPr="000548B2">
        <w:rPr>
          <w:rFonts w:ascii="Georgia" w:hAnsi="Georgia"/>
          <w:sz w:val="16"/>
          <w:szCs w:val="16"/>
        </w:rPr>
        <w:t xml:space="preserve"> </w:t>
      </w:r>
    </w:p>
    <w:sectPr w:rsidR="00CB6D1A" w:rsidRPr="000548B2" w:rsidSect="000548B2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44ED1" w14:textId="77777777" w:rsidR="000548B2" w:rsidRDefault="000548B2" w:rsidP="000548B2">
      <w:r>
        <w:separator/>
      </w:r>
    </w:p>
  </w:endnote>
  <w:endnote w:type="continuationSeparator" w:id="0">
    <w:p w14:paraId="0F1A0DA1" w14:textId="77777777" w:rsidR="000548B2" w:rsidRDefault="000548B2" w:rsidP="0005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975C" w14:textId="58FFCAD1" w:rsidR="000548B2" w:rsidRPr="000548B2" w:rsidRDefault="000548B2" w:rsidP="000548B2">
    <w:pPr>
      <w:spacing w:before="120" w:after="120" w:line="360" w:lineRule="auto"/>
      <w:jc w:val="right"/>
      <w:rPr>
        <w:rFonts w:ascii="Georgia" w:hAnsi="Georgia"/>
        <w:sz w:val="22"/>
        <w:szCs w:val="22"/>
      </w:rPr>
    </w:pPr>
    <w:r w:rsidRPr="0028155A">
      <w:rPr>
        <w:rFonts w:ascii="Georgia" w:hAnsi="Georgia"/>
        <w:sz w:val="22"/>
        <w:szCs w:val="22"/>
      </w:rPr>
      <w:t>PP-HCP-LYVI-US-</w:t>
    </w:r>
    <w:r>
      <w:rPr>
        <w:rFonts w:ascii="Georgia" w:hAnsi="Georgia"/>
        <w:sz w:val="22"/>
        <w:szCs w:val="22"/>
      </w:rPr>
      <w:t>0015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67300" w14:textId="77777777" w:rsidR="000548B2" w:rsidRDefault="000548B2" w:rsidP="000548B2">
      <w:r>
        <w:separator/>
      </w:r>
    </w:p>
  </w:footnote>
  <w:footnote w:type="continuationSeparator" w:id="0">
    <w:p w14:paraId="61006DAE" w14:textId="77777777" w:rsidR="000548B2" w:rsidRDefault="000548B2" w:rsidP="00054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1A"/>
    <w:rsid w:val="000548B2"/>
    <w:rsid w:val="000621DE"/>
    <w:rsid w:val="000969D6"/>
    <w:rsid w:val="000B4FFF"/>
    <w:rsid w:val="000B5E39"/>
    <w:rsid w:val="000D7DFC"/>
    <w:rsid w:val="000F7C01"/>
    <w:rsid w:val="001333E7"/>
    <w:rsid w:val="00295C13"/>
    <w:rsid w:val="00312FA0"/>
    <w:rsid w:val="0044360D"/>
    <w:rsid w:val="00496413"/>
    <w:rsid w:val="004B7669"/>
    <w:rsid w:val="005973D1"/>
    <w:rsid w:val="00686221"/>
    <w:rsid w:val="006A6BF7"/>
    <w:rsid w:val="00764792"/>
    <w:rsid w:val="00790EDF"/>
    <w:rsid w:val="00811473"/>
    <w:rsid w:val="0084191E"/>
    <w:rsid w:val="00866202"/>
    <w:rsid w:val="008E53EA"/>
    <w:rsid w:val="008F72A2"/>
    <w:rsid w:val="00A0384B"/>
    <w:rsid w:val="00A35E2D"/>
    <w:rsid w:val="00BB5877"/>
    <w:rsid w:val="00C40DBA"/>
    <w:rsid w:val="00C85D38"/>
    <w:rsid w:val="00CB6D1A"/>
    <w:rsid w:val="00DB0BC2"/>
    <w:rsid w:val="00DB663B"/>
    <w:rsid w:val="00E17A36"/>
    <w:rsid w:val="00E626DB"/>
    <w:rsid w:val="00E7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A2FAE"/>
  <w15:chartTrackingRefBased/>
  <w15:docId w15:val="{A8A70734-62DF-4B65-AE20-591F071F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D1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B6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6D1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6D1A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3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8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8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48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8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books/NBK5260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olrx.com/saol-therapeutics-announces-fda-approval-of-lyvispahtm-baclofen-oral-granules-and-the-divesture-of-its-plasma-derived-hyperimmune-portfoli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Baez</dc:creator>
  <cp:keywords/>
  <dc:description/>
  <cp:lastModifiedBy>Gabriella Baez</cp:lastModifiedBy>
  <cp:revision>3</cp:revision>
  <dcterms:created xsi:type="dcterms:W3CDTF">2023-02-12T15:36:00Z</dcterms:created>
  <dcterms:modified xsi:type="dcterms:W3CDTF">2023-07-14T12:50:00Z</dcterms:modified>
</cp:coreProperties>
</file>